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75E3B7" w14:textId="77777777" w:rsidR="00B004B0" w:rsidRPr="00B57EA2" w:rsidRDefault="00B004B0" w:rsidP="00B004B0">
      <w:pPr>
        <w:spacing w:before="100" w:beforeAutospacing="1" w:after="100" w:afterAutospacing="1" w:line="240" w:lineRule="auto"/>
        <w:jc w:val="center"/>
        <w:outlineLvl w:val="0"/>
        <w:rPr>
          <w:rFonts w:ascii="Arial" w:eastAsia="Times New Roman" w:hAnsi="Arial" w:cs="Arial"/>
          <w:b/>
          <w:bCs/>
          <w:color w:val="215E99" w:themeColor="text2" w:themeTint="BF"/>
          <w:kern w:val="36"/>
          <w:sz w:val="48"/>
          <w:szCs w:val="48"/>
          <w:lang w:eastAsia="es-MX"/>
          <w14:ligatures w14:val="none"/>
        </w:rPr>
      </w:pPr>
      <w:r w:rsidRPr="00B57EA2">
        <w:rPr>
          <w:rFonts w:ascii="Arial" w:eastAsia="Times New Roman" w:hAnsi="Arial" w:cs="Arial"/>
          <w:b/>
          <w:bCs/>
          <w:color w:val="215E99" w:themeColor="text2" w:themeTint="BF"/>
          <w:kern w:val="36"/>
          <w:sz w:val="48"/>
          <w:szCs w:val="48"/>
          <w:lang w:eastAsia="es-MX"/>
          <w14:ligatures w14:val="none"/>
        </w:rPr>
        <w:t>Guía rápida de signos ecográficos de rotura de implantes mamarios</w:t>
      </w:r>
    </w:p>
    <w:p w14:paraId="38AD9D1A" w14:textId="77777777" w:rsidR="00B004B0" w:rsidRPr="00B57EA2" w:rsidRDefault="00B004B0" w:rsidP="00B004B0">
      <w:pPr>
        <w:spacing w:before="100" w:beforeAutospacing="1" w:after="100" w:afterAutospacing="1" w:line="240" w:lineRule="auto"/>
        <w:outlineLvl w:val="1"/>
        <w:rPr>
          <w:rFonts w:ascii="Arial" w:eastAsia="Times New Roman" w:hAnsi="Arial" w:cs="Arial"/>
          <w:b/>
          <w:bCs/>
          <w:color w:val="215E99" w:themeColor="text2" w:themeTint="BF"/>
          <w:kern w:val="0"/>
          <w:sz w:val="36"/>
          <w:szCs w:val="36"/>
          <w:lang w:eastAsia="es-MX"/>
          <w14:ligatures w14:val="none"/>
        </w:rPr>
      </w:pPr>
      <w:r w:rsidRPr="00B57EA2">
        <w:rPr>
          <w:rFonts w:ascii="Arial" w:eastAsia="Times New Roman" w:hAnsi="Arial" w:cs="Arial"/>
          <w:b/>
          <w:bCs/>
          <w:color w:val="215E99" w:themeColor="text2" w:themeTint="BF"/>
          <w:kern w:val="0"/>
          <w:sz w:val="36"/>
          <w:szCs w:val="36"/>
          <w:lang w:eastAsia="es-MX"/>
          <w14:ligatures w14:val="none"/>
        </w:rPr>
        <w:t>Rotura intracapsular</w:t>
      </w:r>
    </w:p>
    <w:p w14:paraId="7770BC11" w14:textId="77777777" w:rsidR="00B004B0" w:rsidRPr="00B57EA2" w:rsidRDefault="00B004B0" w:rsidP="00B004B0">
      <w:pPr>
        <w:spacing w:before="100" w:beforeAutospacing="1" w:after="100" w:afterAutospacing="1"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Se produce cuando la cubierta del implante se rompe, pero la silicona permanece contenida dentro de la cápsula fibrosa. El diagnóstico ecográfico se basa en la identificación de signos indirectos de colapso de la cubierta.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1"/>
        <w:gridCol w:w="4307"/>
        <w:gridCol w:w="4332"/>
      </w:tblGrid>
      <w:tr w:rsidR="00B004B0" w:rsidRPr="00B57EA2" w14:paraId="3F7A7A0A" w14:textId="77777777" w:rsidTr="00B004B0">
        <w:trPr>
          <w:tblHeader/>
          <w:tblCellSpacing w:w="15" w:type="dxa"/>
        </w:trPr>
        <w:tc>
          <w:tcPr>
            <w:tcW w:w="0" w:type="auto"/>
            <w:vAlign w:val="center"/>
            <w:hideMark/>
          </w:tcPr>
          <w:p w14:paraId="3AEBDF46" w14:textId="77777777" w:rsidR="00B004B0" w:rsidRPr="00B57EA2" w:rsidRDefault="00B004B0" w:rsidP="00B004B0">
            <w:pPr>
              <w:spacing w:after="0" w:line="240" w:lineRule="auto"/>
              <w:jc w:val="center"/>
              <w:rPr>
                <w:rFonts w:ascii="Arial" w:eastAsia="Times New Roman" w:hAnsi="Arial" w:cs="Arial"/>
                <w:b/>
                <w:bCs/>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Signo</w:t>
            </w:r>
          </w:p>
        </w:tc>
        <w:tc>
          <w:tcPr>
            <w:tcW w:w="0" w:type="auto"/>
            <w:vAlign w:val="center"/>
            <w:hideMark/>
          </w:tcPr>
          <w:p w14:paraId="05E14717" w14:textId="77777777" w:rsidR="00B004B0" w:rsidRPr="00B57EA2" w:rsidRDefault="00B004B0" w:rsidP="00B004B0">
            <w:pPr>
              <w:spacing w:after="0" w:line="240" w:lineRule="auto"/>
              <w:jc w:val="center"/>
              <w:rPr>
                <w:rFonts w:ascii="Arial" w:eastAsia="Times New Roman" w:hAnsi="Arial" w:cs="Arial"/>
                <w:b/>
                <w:bCs/>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Hallazgo ecográfico</w:t>
            </w:r>
          </w:p>
        </w:tc>
        <w:tc>
          <w:tcPr>
            <w:tcW w:w="0" w:type="auto"/>
            <w:vAlign w:val="center"/>
            <w:hideMark/>
          </w:tcPr>
          <w:p w14:paraId="2E70FBD9" w14:textId="77777777" w:rsidR="00B004B0" w:rsidRPr="00B57EA2" w:rsidRDefault="00B004B0" w:rsidP="00B004B0">
            <w:pPr>
              <w:spacing w:after="0" w:line="240" w:lineRule="auto"/>
              <w:jc w:val="center"/>
              <w:rPr>
                <w:rFonts w:ascii="Arial" w:eastAsia="Times New Roman" w:hAnsi="Arial" w:cs="Arial"/>
                <w:b/>
                <w:bCs/>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Orientación diagnóstica</w:t>
            </w:r>
          </w:p>
        </w:tc>
      </w:tr>
      <w:tr w:rsidR="00B004B0" w:rsidRPr="00B57EA2" w14:paraId="2545C172" w14:textId="77777777" w:rsidTr="00B004B0">
        <w:trPr>
          <w:tblCellSpacing w:w="15" w:type="dxa"/>
        </w:trPr>
        <w:tc>
          <w:tcPr>
            <w:tcW w:w="0" w:type="auto"/>
            <w:vAlign w:val="center"/>
            <w:hideMark/>
          </w:tcPr>
          <w:p w14:paraId="58A8B30A"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Stepladder</w:t>
            </w:r>
          </w:p>
        </w:tc>
        <w:tc>
          <w:tcPr>
            <w:tcW w:w="0" w:type="auto"/>
            <w:vAlign w:val="center"/>
            <w:hideMark/>
          </w:tcPr>
          <w:p w14:paraId="5AE96591"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Múltiples líneas ecogénicas paralelas dentro del implante.</w:t>
            </w:r>
          </w:p>
        </w:tc>
        <w:tc>
          <w:tcPr>
            <w:tcW w:w="0" w:type="auto"/>
            <w:vAlign w:val="center"/>
            <w:hideMark/>
          </w:tcPr>
          <w:p w14:paraId="46EA4AD6"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Sugiere colapso de la cubierta y rotura intracapsular.</w:t>
            </w:r>
          </w:p>
        </w:tc>
      </w:tr>
      <w:tr w:rsidR="00B004B0" w:rsidRPr="00B57EA2" w14:paraId="675FDCF3" w14:textId="77777777" w:rsidTr="00B004B0">
        <w:trPr>
          <w:tblCellSpacing w:w="15" w:type="dxa"/>
        </w:trPr>
        <w:tc>
          <w:tcPr>
            <w:tcW w:w="0" w:type="auto"/>
            <w:vAlign w:val="center"/>
            <w:hideMark/>
          </w:tcPr>
          <w:p w14:paraId="001AF3C1"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Subcapsular Line</w:t>
            </w:r>
          </w:p>
        </w:tc>
        <w:tc>
          <w:tcPr>
            <w:tcW w:w="0" w:type="auto"/>
            <w:vAlign w:val="center"/>
            <w:hideMark/>
          </w:tcPr>
          <w:p w14:paraId="2505F594"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Línea ecogénica paralela a la cápsula fibrosa.</w:t>
            </w:r>
          </w:p>
        </w:tc>
        <w:tc>
          <w:tcPr>
            <w:tcW w:w="0" w:type="auto"/>
            <w:vAlign w:val="center"/>
            <w:hideMark/>
          </w:tcPr>
          <w:p w14:paraId="70AAE6A9"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Incrementa la sospecha de rotura cuando se asocia a otros signos.</w:t>
            </w:r>
          </w:p>
        </w:tc>
      </w:tr>
      <w:tr w:rsidR="00B004B0" w:rsidRPr="00B57EA2" w14:paraId="595832EF" w14:textId="77777777" w:rsidTr="00B004B0">
        <w:trPr>
          <w:tblCellSpacing w:w="15" w:type="dxa"/>
        </w:trPr>
        <w:tc>
          <w:tcPr>
            <w:tcW w:w="0" w:type="auto"/>
            <w:vAlign w:val="center"/>
            <w:hideMark/>
          </w:tcPr>
          <w:p w14:paraId="63AC4458"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Keyhole / Noose</w:t>
            </w:r>
          </w:p>
        </w:tc>
        <w:tc>
          <w:tcPr>
            <w:tcW w:w="0" w:type="auto"/>
            <w:vAlign w:val="center"/>
            <w:hideMark/>
          </w:tcPr>
          <w:p w14:paraId="62C6DDA7"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Silicona ocupando un pliegue radial con aspecto de cerradura o lazo.</w:t>
            </w:r>
          </w:p>
        </w:tc>
        <w:tc>
          <w:tcPr>
            <w:tcW w:w="0" w:type="auto"/>
            <w:vAlign w:val="center"/>
            <w:hideMark/>
          </w:tcPr>
          <w:p w14:paraId="023228E9"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Compatible con silicona intracapsular secundaria a rotura.</w:t>
            </w:r>
          </w:p>
        </w:tc>
      </w:tr>
    </w:tbl>
    <w:p w14:paraId="27A6CED3" w14:textId="77777777" w:rsidR="00B004B0" w:rsidRPr="00B57EA2" w:rsidRDefault="00B004B0" w:rsidP="00B004B0">
      <w:pPr>
        <w:spacing w:before="100" w:beforeAutospacing="1" w:after="100" w:afterAutospacing="1"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Sugerencia para el informe</w:t>
      </w:r>
    </w:p>
    <w:p w14:paraId="45593085" w14:textId="77777777" w:rsidR="00B004B0" w:rsidRPr="00B57EA2" w:rsidRDefault="00B004B0" w:rsidP="00B004B0">
      <w:pPr>
        <w:spacing w:before="100" w:beforeAutospacing="1"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i/>
          <w:iCs/>
          <w:color w:val="215E99" w:themeColor="text2" w:themeTint="BF"/>
          <w:kern w:val="0"/>
          <w:lang w:eastAsia="es-MX"/>
          <w14:ligatures w14:val="none"/>
        </w:rPr>
        <w:t>"Hallazgos compatibles con rotura intracapsular del implante mamario."</w:t>
      </w:r>
    </w:p>
    <w:p w14:paraId="09A73D2E" w14:textId="77777777" w:rsidR="00B004B0" w:rsidRPr="00B57EA2" w:rsidRDefault="009B343A" w:rsidP="00B004B0">
      <w:pPr>
        <w:spacing w:after="0" w:line="240" w:lineRule="auto"/>
        <w:rPr>
          <w:rFonts w:ascii="Arial" w:eastAsia="Times New Roman" w:hAnsi="Arial" w:cs="Arial"/>
          <w:color w:val="215E99" w:themeColor="text2" w:themeTint="BF"/>
          <w:kern w:val="0"/>
          <w:lang w:eastAsia="es-MX"/>
          <w14:ligatures w14:val="none"/>
        </w:rPr>
      </w:pPr>
      <w:r w:rsidRPr="009B343A">
        <w:rPr>
          <w:rFonts w:ascii="Arial" w:eastAsia="Times New Roman" w:hAnsi="Arial" w:cs="Arial"/>
          <w:noProof/>
          <w:color w:val="0E2841" w:themeColor="text2"/>
          <w:kern w:val="0"/>
          <w:lang w:eastAsia="es-MX"/>
        </w:rPr>
        <w:pict w14:anchorId="03296974">
          <v:rect id="_x0000_i1026" alt="" style="width:441.9pt;height:.05pt;mso-width-percent:0;mso-height-percent:0;mso-width-percent:0;mso-height-percent:0" o:hralign="center" o:hrstd="t" o:hr="t" fillcolor="#a0a0a0" stroked="f"/>
        </w:pict>
      </w:r>
    </w:p>
    <w:p w14:paraId="6FE2BF89" w14:textId="77777777" w:rsidR="00B004B0" w:rsidRPr="00B57EA2" w:rsidRDefault="00B004B0" w:rsidP="00B004B0">
      <w:pPr>
        <w:spacing w:before="100" w:beforeAutospacing="1" w:after="100" w:afterAutospacing="1" w:line="240" w:lineRule="auto"/>
        <w:outlineLvl w:val="0"/>
        <w:rPr>
          <w:rFonts w:ascii="Arial" w:eastAsia="Times New Roman" w:hAnsi="Arial" w:cs="Arial"/>
          <w:b/>
          <w:bCs/>
          <w:color w:val="215E99" w:themeColor="text2" w:themeTint="BF"/>
          <w:kern w:val="36"/>
          <w:sz w:val="36"/>
          <w:szCs w:val="36"/>
          <w:lang w:eastAsia="es-MX"/>
          <w14:ligatures w14:val="none"/>
        </w:rPr>
      </w:pPr>
      <w:r w:rsidRPr="00B57EA2">
        <w:rPr>
          <w:rFonts w:ascii="Arial" w:eastAsia="Times New Roman" w:hAnsi="Arial" w:cs="Arial"/>
          <w:b/>
          <w:bCs/>
          <w:color w:val="215E99" w:themeColor="text2" w:themeTint="BF"/>
          <w:kern w:val="36"/>
          <w:sz w:val="36"/>
          <w:szCs w:val="36"/>
          <w:lang w:eastAsia="es-MX"/>
          <w14:ligatures w14:val="none"/>
        </w:rPr>
        <w:t>Rotura extracapsular</w:t>
      </w:r>
    </w:p>
    <w:p w14:paraId="68DAE2F4" w14:textId="77777777" w:rsidR="00B004B0" w:rsidRPr="00B57EA2" w:rsidRDefault="00B004B0" w:rsidP="00B004B0">
      <w:pPr>
        <w:spacing w:before="100" w:beforeAutospacing="1" w:after="100" w:afterAutospacing="1"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Ocurre cuando la silicona atraviesa la cápsula fibrosa y migra hacia los tejidos vecinos. La ecografía permite identificar tanto la silicona libre como sus complicaciones locales.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62"/>
        <w:gridCol w:w="4862"/>
        <w:gridCol w:w="3526"/>
      </w:tblGrid>
      <w:tr w:rsidR="00B004B0" w:rsidRPr="00B57EA2" w14:paraId="3DFE4E80" w14:textId="77777777" w:rsidTr="00B004B0">
        <w:trPr>
          <w:tblHeader/>
          <w:tblCellSpacing w:w="15" w:type="dxa"/>
        </w:trPr>
        <w:tc>
          <w:tcPr>
            <w:tcW w:w="0" w:type="auto"/>
            <w:vAlign w:val="center"/>
            <w:hideMark/>
          </w:tcPr>
          <w:p w14:paraId="304191F8" w14:textId="77777777" w:rsidR="00B004B0" w:rsidRPr="00B57EA2" w:rsidRDefault="00B004B0" w:rsidP="00B004B0">
            <w:pPr>
              <w:spacing w:after="0" w:line="240" w:lineRule="auto"/>
              <w:jc w:val="center"/>
              <w:rPr>
                <w:rFonts w:ascii="Arial" w:eastAsia="Times New Roman" w:hAnsi="Arial" w:cs="Arial"/>
                <w:b/>
                <w:bCs/>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Signo</w:t>
            </w:r>
          </w:p>
        </w:tc>
        <w:tc>
          <w:tcPr>
            <w:tcW w:w="0" w:type="auto"/>
            <w:vAlign w:val="center"/>
            <w:hideMark/>
          </w:tcPr>
          <w:p w14:paraId="5E899D13" w14:textId="77777777" w:rsidR="00B004B0" w:rsidRPr="00B57EA2" w:rsidRDefault="00B004B0" w:rsidP="00B004B0">
            <w:pPr>
              <w:spacing w:after="0" w:line="240" w:lineRule="auto"/>
              <w:jc w:val="center"/>
              <w:rPr>
                <w:rFonts w:ascii="Arial" w:eastAsia="Times New Roman" w:hAnsi="Arial" w:cs="Arial"/>
                <w:b/>
                <w:bCs/>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Hallazgo ecográfico</w:t>
            </w:r>
          </w:p>
        </w:tc>
        <w:tc>
          <w:tcPr>
            <w:tcW w:w="0" w:type="auto"/>
            <w:vAlign w:val="center"/>
            <w:hideMark/>
          </w:tcPr>
          <w:p w14:paraId="605BD4C4" w14:textId="77777777" w:rsidR="00B004B0" w:rsidRPr="00B57EA2" w:rsidRDefault="00B004B0" w:rsidP="00B004B0">
            <w:pPr>
              <w:spacing w:after="0" w:line="240" w:lineRule="auto"/>
              <w:jc w:val="center"/>
              <w:rPr>
                <w:rFonts w:ascii="Arial" w:eastAsia="Times New Roman" w:hAnsi="Arial" w:cs="Arial"/>
                <w:b/>
                <w:bCs/>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Orientación diagnóstica</w:t>
            </w:r>
          </w:p>
        </w:tc>
      </w:tr>
      <w:tr w:rsidR="00B004B0" w:rsidRPr="00B57EA2" w14:paraId="3EB796A8" w14:textId="77777777" w:rsidTr="00B004B0">
        <w:trPr>
          <w:tblCellSpacing w:w="15" w:type="dxa"/>
        </w:trPr>
        <w:tc>
          <w:tcPr>
            <w:tcW w:w="0" w:type="auto"/>
            <w:vAlign w:val="center"/>
            <w:hideMark/>
          </w:tcPr>
          <w:p w14:paraId="60166289"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Snowstorm</w:t>
            </w:r>
          </w:p>
        </w:tc>
        <w:tc>
          <w:tcPr>
            <w:tcW w:w="0" w:type="auto"/>
            <w:vAlign w:val="center"/>
            <w:hideMark/>
          </w:tcPr>
          <w:p w14:paraId="55CEFA09"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Hiperecogenicidad con marcada atenuación posterior en tejidos adyacentes.</w:t>
            </w:r>
          </w:p>
        </w:tc>
        <w:tc>
          <w:tcPr>
            <w:tcW w:w="0" w:type="auto"/>
            <w:vAlign w:val="center"/>
            <w:hideMark/>
          </w:tcPr>
          <w:p w14:paraId="005B0410"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Indica silicona libre extracapsular.</w:t>
            </w:r>
          </w:p>
        </w:tc>
      </w:tr>
      <w:tr w:rsidR="00B004B0" w:rsidRPr="00B57EA2" w14:paraId="5DA0023E" w14:textId="77777777" w:rsidTr="00B004B0">
        <w:trPr>
          <w:tblCellSpacing w:w="15" w:type="dxa"/>
        </w:trPr>
        <w:tc>
          <w:tcPr>
            <w:tcW w:w="0" w:type="auto"/>
            <w:vAlign w:val="center"/>
            <w:hideMark/>
          </w:tcPr>
          <w:p w14:paraId="241B7164"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Siliconoma</w:t>
            </w:r>
          </w:p>
        </w:tc>
        <w:tc>
          <w:tcPr>
            <w:tcW w:w="0" w:type="auto"/>
            <w:vAlign w:val="center"/>
            <w:hideMark/>
          </w:tcPr>
          <w:p w14:paraId="4BD9E0B2"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Lesión hiperecogénica mal definida con patrón tipo Snowstorm.</w:t>
            </w:r>
          </w:p>
        </w:tc>
        <w:tc>
          <w:tcPr>
            <w:tcW w:w="0" w:type="auto"/>
            <w:vAlign w:val="center"/>
            <w:hideMark/>
          </w:tcPr>
          <w:p w14:paraId="008DDE91"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Sugiere reacción granulomatosa por silicona.</w:t>
            </w:r>
          </w:p>
        </w:tc>
      </w:tr>
      <w:tr w:rsidR="00B004B0" w:rsidRPr="00B57EA2" w14:paraId="706CAB9E" w14:textId="77777777" w:rsidTr="00B004B0">
        <w:trPr>
          <w:tblCellSpacing w:w="15" w:type="dxa"/>
        </w:trPr>
        <w:tc>
          <w:tcPr>
            <w:tcW w:w="0" w:type="auto"/>
            <w:vAlign w:val="center"/>
            <w:hideMark/>
          </w:tcPr>
          <w:p w14:paraId="5E82ECC0"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Adenopatía con silicona</w:t>
            </w:r>
          </w:p>
        </w:tc>
        <w:tc>
          <w:tcPr>
            <w:tcW w:w="0" w:type="auto"/>
            <w:vAlign w:val="center"/>
            <w:hideMark/>
          </w:tcPr>
          <w:p w14:paraId="5FC15A17"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Ganglio axilar con patrón ecográfico tipo Snowstorm.</w:t>
            </w:r>
          </w:p>
        </w:tc>
        <w:tc>
          <w:tcPr>
            <w:tcW w:w="0" w:type="auto"/>
            <w:vAlign w:val="center"/>
            <w:hideMark/>
          </w:tcPr>
          <w:p w14:paraId="17AA041E" w14:textId="77777777" w:rsidR="00B004B0" w:rsidRPr="00B57EA2" w:rsidRDefault="00B004B0" w:rsidP="00B004B0">
            <w:pPr>
              <w:spacing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Compatible con depósito de silicona intraganglionar.</w:t>
            </w:r>
          </w:p>
        </w:tc>
      </w:tr>
    </w:tbl>
    <w:p w14:paraId="1400B97F" w14:textId="77777777" w:rsidR="00B004B0" w:rsidRPr="00B57EA2" w:rsidRDefault="00B004B0" w:rsidP="00B004B0">
      <w:pPr>
        <w:spacing w:before="100" w:beforeAutospacing="1" w:after="100" w:afterAutospacing="1"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b/>
          <w:bCs/>
          <w:color w:val="215E99" w:themeColor="text2" w:themeTint="BF"/>
          <w:kern w:val="0"/>
          <w:lang w:eastAsia="es-MX"/>
          <w14:ligatures w14:val="none"/>
        </w:rPr>
        <w:t>Sugerencia para el informe</w:t>
      </w:r>
    </w:p>
    <w:p w14:paraId="7AD90298" w14:textId="77777777" w:rsidR="00B004B0" w:rsidRPr="00B57EA2" w:rsidRDefault="00B004B0" w:rsidP="00B004B0">
      <w:pPr>
        <w:spacing w:before="100" w:beforeAutospacing="1" w:after="0"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i/>
          <w:iCs/>
          <w:color w:val="215E99" w:themeColor="text2" w:themeTint="BF"/>
          <w:kern w:val="0"/>
          <w:lang w:eastAsia="es-MX"/>
          <w14:ligatures w14:val="none"/>
        </w:rPr>
        <w:t>"Hallazgos compatibles con rotura extracapsular del implante mamario con migración de silicona."</w:t>
      </w:r>
    </w:p>
    <w:p w14:paraId="724569AB" w14:textId="77777777" w:rsidR="00B004B0" w:rsidRPr="00B57EA2" w:rsidRDefault="009B343A" w:rsidP="00B004B0">
      <w:pPr>
        <w:spacing w:after="0" w:line="240" w:lineRule="auto"/>
        <w:rPr>
          <w:rFonts w:ascii="Arial" w:eastAsia="Times New Roman" w:hAnsi="Arial" w:cs="Arial"/>
          <w:color w:val="215E99" w:themeColor="text2" w:themeTint="BF"/>
          <w:kern w:val="0"/>
          <w:lang w:eastAsia="es-MX"/>
          <w14:ligatures w14:val="none"/>
        </w:rPr>
      </w:pPr>
      <w:r>
        <w:rPr>
          <w:noProof/>
        </w:rPr>
      </w:r>
      <w:r>
        <w:pict w14:anchorId="487BF2E3">
          <v:rect id="Horizontal Line 22" o:spid="_x0000_s2050" style="width:52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F3AQ8DbAAAACAEAAA8AAAAAAAAAAAAAAAAAugQAAGRycy9kb3du&#13;&#10;cmV2LnhtbFBLBQYAAAAABAAEAPMAAADCBQAAAAA=&#13;&#10;" filled="f">
            <o:lock v:ext="edit" rotation="t" aspectratio="t" verticies="t" text="t" shapetype="t"/>
            <w10:anchorlock/>
          </v:rect>
        </w:pict>
      </w:r>
    </w:p>
    <w:p w14:paraId="6BF3A6E6" w14:textId="77777777" w:rsidR="00B004B0" w:rsidRPr="00B57EA2" w:rsidRDefault="00B004B0" w:rsidP="00B004B0">
      <w:pPr>
        <w:spacing w:before="100" w:beforeAutospacing="1" w:after="0" w:line="240" w:lineRule="auto"/>
        <w:outlineLvl w:val="1"/>
        <w:rPr>
          <w:rFonts w:ascii="Arial" w:eastAsia="Times New Roman" w:hAnsi="Arial" w:cs="Arial"/>
          <w:b/>
          <w:bCs/>
          <w:color w:val="215E99" w:themeColor="text2" w:themeTint="BF"/>
          <w:kern w:val="0"/>
          <w:sz w:val="36"/>
          <w:szCs w:val="36"/>
          <w:lang w:eastAsia="es-MX"/>
          <w14:ligatures w14:val="none"/>
        </w:rPr>
      </w:pPr>
      <w:r w:rsidRPr="00B57EA2">
        <w:rPr>
          <w:rFonts w:ascii="Arial" w:eastAsia="Times New Roman" w:hAnsi="Arial" w:cs="Arial"/>
          <w:b/>
          <w:bCs/>
          <w:color w:val="215E99" w:themeColor="text2" w:themeTint="BF"/>
          <w:kern w:val="0"/>
          <w:sz w:val="36"/>
          <w:szCs w:val="36"/>
          <w:lang w:eastAsia="es-MX"/>
          <w14:ligatures w14:val="none"/>
        </w:rPr>
        <w:t>Recomendaciones</w:t>
      </w:r>
    </w:p>
    <w:p w14:paraId="7D56C767" w14:textId="77777777" w:rsidR="00B004B0" w:rsidRPr="00B57EA2" w:rsidRDefault="00B004B0" w:rsidP="00B004B0">
      <w:pPr>
        <w:numPr>
          <w:ilvl w:val="0"/>
          <w:numId w:val="6"/>
        </w:numPr>
        <w:spacing w:before="100" w:beforeAutospacing="1" w:after="100" w:afterAutospacing="1"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Describir los signos ecográficos observados.</w:t>
      </w:r>
    </w:p>
    <w:p w14:paraId="052CB262" w14:textId="77777777" w:rsidR="00B004B0" w:rsidRPr="00B57EA2" w:rsidRDefault="00B004B0" w:rsidP="00B004B0">
      <w:pPr>
        <w:numPr>
          <w:ilvl w:val="0"/>
          <w:numId w:val="6"/>
        </w:numPr>
        <w:spacing w:before="100" w:beforeAutospacing="1" w:after="100" w:afterAutospacing="1"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Especificar si la rotura es </w:t>
      </w:r>
      <w:r w:rsidRPr="00B57EA2">
        <w:rPr>
          <w:rFonts w:ascii="Arial" w:eastAsia="Times New Roman" w:hAnsi="Arial" w:cs="Arial"/>
          <w:b/>
          <w:bCs/>
          <w:color w:val="215E99" w:themeColor="text2" w:themeTint="BF"/>
          <w:kern w:val="0"/>
          <w:lang w:eastAsia="es-MX"/>
          <w14:ligatures w14:val="none"/>
        </w:rPr>
        <w:t>intracapsular</w:t>
      </w:r>
      <w:r w:rsidRPr="00B57EA2">
        <w:rPr>
          <w:rFonts w:ascii="Arial" w:eastAsia="Times New Roman" w:hAnsi="Arial" w:cs="Arial"/>
          <w:color w:val="215E99" w:themeColor="text2" w:themeTint="BF"/>
          <w:kern w:val="0"/>
          <w:lang w:eastAsia="es-MX"/>
          <w14:ligatures w14:val="none"/>
        </w:rPr>
        <w:t> o </w:t>
      </w:r>
      <w:r w:rsidRPr="00B57EA2">
        <w:rPr>
          <w:rFonts w:ascii="Arial" w:eastAsia="Times New Roman" w:hAnsi="Arial" w:cs="Arial"/>
          <w:b/>
          <w:bCs/>
          <w:color w:val="215E99" w:themeColor="text2" w:themeTint="BF"/>
          <w:kern w:val="0"/>
          <w:lang w:eastAsia="es-MX"/>
          <w14:ligatures w14:val="none"/>
        </w:rPr>
        <w:t>extracapsular</w:t>
      </w:r>
      <w:r w:rsidRPr="00B57EA2">
        <w:rPr>
          <w:rFonts w:ascii="Arial" w:eastAsia="Times New Roman" w:hAnsi="Arial" w:cs="Arial"/>
          <w:color w:val="215E99" w:themeColor="text2" w:themeTint="BF"/>
          <w:kern w:val="0"/>
          <w:lang w:eastAsia="es-MX"/>
          <w14:ligatures w14:val="none"/>
        </w:rPr>
        <w:t>.</w:t>
      </w:r>
    </w:p>
    <w:p w14:paraId="1EC405BD" w14:textId="77777777" w:rsidR="00B004B0" w:rsidRPr="00B57EA2" w:rsidRDefault="00B004B0" w:rsidP="00B004B0">
      <w:pPr>
        <w:numPr>
          <w:ilvl w:val="0"/>
          <w:numId w:val="6"/>
        </w:numPr>
        <w:spacing w:before="100" w:beforeAutospacing="1" w:after="100" w:afterAutospacing="1"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Correlacionar los hallazgos con la clínica y los antecedentes quirúrgicos.</w:t>
      </w:r>
    </w:p>
    <w:p w14:paraId="2C1E1316" w14:textId="25EC971D" w:rsidR="00874BF9" w:rsidRPr="00B57EA2" w:rsidRDefault="00B004B0" w:rsidP="00B004B0">
      <w:pPr>
        <w:numPr>
          <w:ilvl w:val="0"/>
          <w:numId w:val="6"/>
        </w:numPr>
        <w:spacing w:before="100" w:beforeAutospacing="1" w:after="100" w:afterAutospacing="1" w:line="240" w:lineRule="auto"/>
        <w:rPr>
          <w:rFonts w:ascii="Arial" w:eastAsia="Times New Roman" w:hAnsi="Arial" w:cs="Arial"/>
          <w:color w:val="215E99" w:themeColor="text2" w:themeTint="BF"/>
          <w:kern w:val="0"/>
          <w:lang w:eastAsia="es-MX"/>
          <w14:ligatures w14:val="none"/>
        </w:rPr>
      </w:pPr>
      <w:r w:rsidRPr="00B57EA2">
        <w:rPr>
          <w:rFonts w:ascii="Arial" w:eastAsia="Times New Roman" w:hAnsi="Arial" w:cs="Arial"/>
          <w:color w:val="215E99" w:themeColor="text2" w:themeTint="BF"/>
          <w:kern w:val="0"/>
          <w:lang w:eastAsia="es-MX"/>
          <w14:ligatures w14:val="none"/>
        </w:rPr>
        <w:t>Considerar resonancia magnética cuando se requiera una evaluación complementaria.</w:t>
      </w:r>
    </w:p>
    <w:sectPr w:rsidR="00874BF9" w:rsidRPr="00B57EA2" w:rsidSect="00B004B0">
      <w:headerReference w:type="default" r:id="rId7"/>
      <w:pgSz w:w="11900" w:h="16840"/>
      <w:pgMar w:top="720" w:right="720" w:bottom="720" w:left="720"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4E7D2E" w14:textId="77777777" w:rsidR="009B343A" w:rsidRDefault="009B343A" w:rsidP="00B004B0">
      <w:pPr>
        <w:spacing w:after="0" w:line="240" w:lineRule="auto"/>
      </w:pPr>
      <w:r>
        <w:separator/>
      </w:r>
    </w:p>
  </w:endnote>
  <w:endnote w:type="continuationSeparator" w:id="0">
    <w:p w14:paraId="374732A8" w14:textId="77777777" w:rsidR="009B343A" w:rsidRDefault="009B343A" w:rsidP="00B00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300C7D" w14:textId="77777777" w:rsidR="009B343A" w:rsidRDefault="009B343A" w:rsidP="00B004B0">
      <w:pPr>
        <w:spacing w:after="0" w:line="240" w:lineRule="auto"/>
      </w:pPr>
      <w:r>
        <w:separator/>
      </w:r>
    </w:p>
  </w:footnote>
  <w:footnote w:type="continuationSeparator" w:id="0">
    <w:p w14:paraId="734392AB" w14:textId="77777777" w:rsidR="009B343A" w:rsidRDefault="009B343A" w:rsidP="00B004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12A729" w14:textId="5557D3C5" w:rsidR="00B004B0" w:rsidRDefault="00B004B0">
    <w:pPr>
      <w:pStyle w:val="Encabezado"/>
    </w:pPr>
    <w:r>
      <w:rPr>
        <w:noProof/>
      </w:rPr>
      <w:drawing>
        <wp:anchor distT="0" distB="0" distL="114300" distR="114300" simplePos="0" relativeHeight="251658240" behindDoc="1" locked="0" layoutInCell="1" allowOverlap="1" wp14:anchorId="2DD3FEB0" wp14:editId="7E61A167">
          <wp:simplePos x="0" y="0"/>
          <wp:positionH relativeFrom="column">
            <wp:posOffset>4652048</wp:posOffset>
          </wp:positionH>
          <wp:positionV relativeFrom="paragraph">
            <wp:posOffset>-145415</wp:posOffset>
          </wp:positionV>
          <wp:extent cx="2047240" cy="476250"/>
          <wp:effectExtent l="0" t="0" r="0" b="6350"/>
          <wp:wrapTight wrapText="bothSides">
            <wp:wrapPolygon edited="0">
              <wp:start x="1608" y="0"/>
              <wp:lineTo x="0" y="8640"/>
              <wp:lineTo x="0" y="12672"/>
              <wp:lineTo x="1876" y="18432"/>
              <wp:lineTo x="2546" y="21312"/>
              <wp:lineTo x="2680" y="21312"/>
              <wp:lineTo x="16213" y="21312"/>
              <wp:lineTo x="16347" y="21312"/>
              <wp:lineTo x="17151" y="18432"/>
              <wp:lineTo x="21439" y="17856"/>
              <wp:lineTo x="21439" y="3456"/>
              <wp:lineTo x="4824" y="0"/>
              <wp:lineTo x="1608" y="0"/>
            </wp:wrapPolygon>
          </wp:wrapTight>
          <wp:docPr id="117744110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441103" name="Imagen 1177441103"/>
                  <pic:cNvPicPr/>
                </pic:nvPicPr>
                <pic:blipFill>
                  <a:blip r:embed="rId1">
                    <a:extLst>
                      <a:ext uri="{28A0092B-C50C-407E-A947-70E740481C1C}">
                        <a14:useLocalDpi xmlns:a14="http://schemas.microsoft.com/office/drawing/2010/main" val="0"/>
                      </a:ext>
                    </a:extLst>
                  </a:blip>
                  <a:stretch>
                    <a:fillRect/>
                  </a:stretch>
                </pic:blipFill>
                <pic:spPr>
                  <a:xfrm>
                    <a:off x="0" y="0"/>
                    <a:ext cx="2047240" cy="476250"/>
                  </a:xfrm>
                  <a:prstGeom prst="rect">
                    <a:avLst/>
                  </a:prstGeom>
                </pic:spPr>
              </pic:pic>
            </a:graphicData>
          </a:graphic>
          <wp14:sizeRelH relativeFrom="page">
            <wp14:pctWidth>0</wp14:pctWidth>
          </wp14:sizeRelH>
          <wp14:sizeRelV relativeFrom="page">
            <wp14:pctHeight>0</wp14:pctHeight>
          </wp14:sizeRelV>
        </wp:anchor>
      </w:drawing>
    </w:r>
  </w:p>
  <w:p w14:paraId="7ECFF629" w14:textId="77777777" w:rsidR="00B004B0" w:rsidRDefault="00B004B0">
    <w:pPr>
      <w:pStyle w:val="Encabezado"/>
    </w:pPr>
  </w:p>
  <w:p w14:paraId="57FF4F3A" w14:textId="1C35C1C8" w:rsidR="00B004B0" w:rsidRDefault="00B004B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275F6"/>
    <w:multiLevelType w:val="multilevel"/>
    <w:tmpl w:val="78E0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163B6"/>
    <w:multiLevelType w:val="multilevel"/>
    <w:tmpl w:val="EFE6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D4E17"/>
    <w:multiLevelType w:val="multilevel"/>
    <w:tmpl w:val="198E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D270A"/>
    <w:multiLevelType w:val="multilevel"/>
    <w:tmpl w:val="D72A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8C3060"/>
    <w:multiLevelType w:val="multilevel"/>
    <w:tmpl w:val="44EE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701E5F"/>
    <w:multiLevelType w:val="multilevel"/>
    <w:tmpl w:val="CA7E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3518490">
    <w:abstractNumId w:val="3"/>
  </w:num>
  <w:num w:numId="2" w16cid:durableId="556865030">
    <w:abstractNumId w:val="5"/>
  </w:num>
  <w:num w:numId="3" w16cid:durableId="1676569599">
    <w:abstractNumId w:val="2"/>
  </w:num>
  <w:num w:numId="4" w16cid:durableId="509608882">
    <w:abstractNumId w:val="4"/>
  </w:num>
  <w:num w:numId="5" w16cid:durableId="1512139948">
    <w:abstractNumId w:val="0"/>
  </w:num>
  <w:num w:numId="6" w16cid:durableId="186793772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4B0"/>
    <w:rsid w:val="001F1D58"/>
    <w:rsid w:val="00346D9C"/>
    <w:rsid w:val="005D3128"/>
    <w:rsid w:val="00706814"/>
    <w:rsid w:val="00874BF9"/>
    <w:rsid w:val="008D24C2"/>
    <w:rsid w:val="009B343A"/>
    <w:rsid w:val="00B004B0"/>
    <w:rsid w:val="00B57EA2"/>
    <w:rsid w:val="00EE77A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61A631"/>
  <w15:chartTrackingRefBased/>
  <w15:docId w15:val="{D29F2622-FA1A-F844-A03E-45A7E6B4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04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B004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B004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04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04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04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04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04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04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04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B004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B004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04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04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04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04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04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04B0"/>
    <w:rPr>
      <w:rFonts w:eastAsiaTheme="majorEastAsia" w:cstheme="majorBidi"/>
      <w:color w:val="272727" w:themeColor="text1" w:themeTint="D8"/>
    </w:rPr>
  </w:style>
  <w:style w:type="paragraph" w:styleId="Ttulo">
    <w:name w:val="Title"/>
    <w:basedOn w:val="Normal"/>
    <w:next w:val="Normal"/>
    <w:link w:val="TtuloCar"/>
    <w:uiPriority w:val="10"/>
    <w:qFormat/>
    <w:rsid w:val="00B00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04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04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04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04B0"/>
    <w:pPr>
      <w:spacing w:before="160"/>
      <w:jc w:val="center"/>
    </w:pPr>
    <w:rPr>
      <w:i/>
      <w:iCs/>
      <w:color w:val="404040" w:themeColor="text1" w:themeTint="BF"/>
    </w:rPr>
  </w:style>
  <w:style w:type="character" w:customStyle="1" w:styleId="CitaCar">
    <w:name w:val="Cita Car"/>
    <w:basedOn w:val="Fuentedeprrafopredeter"/>
    <w:link w:val="Cita"/>
    <w:uiPriority w:val="29"/>
    <w:rsid w:val="00B004B0"/>
    <w:rPr>
      <w:i/>
      <w:iCs/>
      <w:color w:val="404040" w:themeColor="text1" w:themeTint="BF"/>
    </w:rPr>
  </w:style>
  <w:style w:type="paragraph" w:styleId="Prrafodelista">
    <w:name w:val="List Paragraph"/>
    <w:basedOn w:val="Normal"/>
    <w:uiPriority w:val="34"/>
    <w:qFormat/>
    <w:rsid w:val="00B004B0"/>
    <w:pPr>
      <w:ind w:left="720"/>
      <w:contextualSpacing/>
    </w:pPr>
  </w:style>
  <w:style w:type="character" w:styleId="nfasisintenso">
    <w:name w:val="Intense Emphasis"/>
    <w:basedOn w:val="Fuentedeprrafopredeter"/>
    <w:uiPriority w:val="21"/>
    <w:qFormat/>
    <w:rsid w:val="00B004B0"/>
    <w:rPr>
      <w:i/>
      <w:iCs/>
      <w:color w:val="0F4761" w:themeColor="accent1" w:themeShade="BF"/>
    </w:rPr>
  </w:style>
  <w:style w:type="paragraph" w:styleId="Citadestacada">
    <w:name w:val="Intense Quote"/>
    <w:basedOn w:val="Normal"/>
    <w:next w:val="Normal"/>
    <w:link w:val="CitadestacadaCar"/>
    <w:uiPriority w:val="30"/>
    <w:qFormat/>
    <w:rsid w:val="00B004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04B0"/>
    <w:rPr>
      <w:i/>
      <w:iCs/>
      <w:color w:val="0F4761" w:themeColor="accent1" w:themeShade="BF"/>
    </w:rPr>
  </w:style>
  <w:style w:type="character" w:styleId="Referenciaintensa">
    <w:name w:val="Intense Reference"/>
    <w:basedOn w:val="Fuentedeprrafopredeter"/>
    <w:uiPriority w:val="32"/>
    <w:qFormat/>
    <w:rsid w:val="00B004B0"/>
    <w:rPr>
      <w:b/>
      <w:bCs/>
      <w:smallCaps/>
      <w:color w:val="0F4761" w:themeColor="accent1" w:themeShade="BF"/>
      <w:spacing w:val="5"/>
    </w:rPr>
  </w:style>
  <w:style w:type="paragraph" w:styleId="NormalWeb">
    <w:name w:val="Normal (Web)"/>
    <w:basedOn w:val="Normal"/>
    <w:uiPriority w:val="99"/>
    <w:semiHidden/>
    <w:unhideWhenUsed/>
    <w:rsid w:val="00B004B0"/>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apple-converted-space">
    <w:name w:val="apple-converted-space"/>
    <w:basedOn w:val="Fuentedeprrafopredeter"/>
    <w:rsid w:val="00B004B0"/>
  </w:style>
  <w:style w:type="character" w:styleId="Fuerte">
    <w:name w:val="Strong"/>
    <w:basedOn w:val="Fuentedeprrafopredeter"/>
    <w:uiPriority w:val="22"/>
    <w:qFormat/>
    <w:rsid w:val="00B004B0"/>
    <w:rPr>
      <w:b/>
      <w:bCs/>
    </w:rPr>
  </w:style>
  <w:style w:type="paragraph" w:styleId="Encabezado">
    <w:name w:val="header"/>
    <w:basedOn w:val="Normal"/>
    <w:link w:val="EncabezadoCar"/>
    <w:uiPriority w:val="99"/>
    <w:unhideWhenUsed/>
    <w:rsid w:val="00B004B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04B0"/>
  </w:style>
  <w:style w:type="paragraph" w:styleId="Piedepgina">
    <w:name w:val="footer"/>
    <w:basedOn w:val="Normal"/>
    <w:link w:val="PiedepginaCar"/>
    <w:uiPriority w:val="99"/>
    <w:unhideWhenUsed/>
    <w:rsid w:val="00B004B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04B0"/>
  </w:style>
  <w:style w:type="character" w:styleId="nfasis">
    <w:name w:val="Emphasis"/>
    <w:basedOn w:val="Fuentedeprrafopredeter"/>
    <w:uiPriority w:val="20"/>
    <w:qFormat/>
    <w:rsid w:val="00B004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1624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DEL CARMEN OSORIO MIRANDA</dc:creator>
  <cp:keywords/>
  <dc:description/>
  <cp:lastModifiedBy>JACQUELINE DEL CARMEN OSORIO MIRANDA</cp:lastModifiedBy>
  <cp:revision>2</cp:revision>
  <dcterms:created xsi:type="dcterms:W3CDTF">2026-08-05T03:19:00Z</dcterms:created>
  <dcterms:modified xsi:type="dcterms:W3CDTF">2026-08-05T03:19:00Z</dcterms:modified>
</cp:coreProperties>
</file>